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357D" w14:textId="63C5D426" w:rsidR="00D73347" w:rsidRDefault="00D73347" w:rsidP="00444791">
      <w:pPr>
        <w:jc w:val="center"/>
        <w:rPr>
          <w:b/>
          <w:bCs/>
          <w:sz w:val="28"/>
          <w:szCs w:val="28"/>
        </w:rPr>
      </w:pPr>
    </w:p>
    <w:p w14:paraId="10AFCFDA" w14:textId="77777777" w:rsidR="000162B5" w:rsidRDefault="000162B5" w:rsidP="000162B5">
      <w:r>
        <w:t xml:space="preserve">We are deeply grateful for the continued support of the CVRD for both the economic enhancement and bus transportation programs and for the participation of the community in our endeavours.  </w:t>
      </w:r>
    </w:p>
    <w:p w14:paraId="112D44A9" w14:textId="77777777" w:rsidR="000162B5" w:rsidRDefault="000162B5" w:rsidP="000766F9">
      <w:pPr>
        <w:rPr>
          <w:b/>
          <w:bCs/>
        </w:rPr>
      </w:pPr>
    </w:p>
    <w:p w14:paraId="294C78DD" w14:textId="6E8A509A" w:rsidR="009764B4" w:rsidRDefault="009764B4" w:rsidP="000766F9">
      <w:pPr>
        <w:rPr>
          <w:b/>
          <w:bCs/>
        </w:rPr>
      </w:pPr>
      <w:r>
        <w:rPr>
          <w:b/>
          <w:bCs/>
        </w:rPr>
        <w:t xml:space="preserve">Community Project Grants </w:t>
      </w:r>
    </w:p>
    <w:p w14:paraId="2B40B8A8" w14:textId="77777777" w:rsidR="0098402F" w:rsidRDefault="0098402F" w:rsidP="000766F9">
      <w:pPr>
        <w:rPr>
          <w:b/>
          <w:bCs/>
        </w:rPr>
      </w:pPr>
    </w:p>
    <w:p w14:paraId="415D2D69" w14:textId="088FB4AD" w:rsidR="00B4722B" w:rsidRDefault="00B4722B" w:rsidP="00B4722B">
      <w:r>
        <w:t xml:space="preserve">Along with the Denman Bus, the Community Project Grants continue to be </w:t>
      </w:r>
      <w:r w:rsidR="006864DF">
        <w:t xml:space="preserve">of </w:t>
      </w:r>
      <w:r>
        <w:t>the most tangible benefit to Denman because they are a direct contribution that is spread around in the community</w:t>
      </w:r>
    </w:p>
    <w:p w14:paraId="19A09ABE" w14:textId="77777777" w:rsidR="00B4722B" w:rsidRDefault="00B4722B" w:rsidP="000766F9">
      <w:pPr>
        <w:rPr>
          <w:b/>
          <w:bCs/>
        </w:rPr>
      </w:pPr>
    </w:p>
    <w:p w14:paraId="216B6F9E" w14:textId="5FB0C13C" w:rsidR="0098402F" w:rsidRPr="0098402F" w:rsidRDefault="0098402F" w:rsidP="000766F9">
      <w:r>
        <w:t>Ten grants were issued</w:t>
      </w:r>
      <w:r w:rsidR="006864DF">
        <w:t xml:space="preserve"> in 2025</w:t>
      </w:r>
      <w:r>
        <w:t xml:space="preserve">, </w:t>
      </w:r>
      <w:r w:rsidR="00CC465A">
        <w:t xml:space="preserve">totalling </w:t>
      </w:r>
      <w:r w:rsidR="007D27B3">
        <w:t xml:space="preserve">$21,550 </w:t>
      </w:r>
      <w:r w:rsidR="00E82178">
        <w:t xml:space="preserve">one of which, to our great regret, was subsequently </w:t>
      </w:r>
      <w:r w:rsidR="002D50F5">
        <w:t xml:space="preserve">cancelled due to unexpected project termination. </w:t>
      </w:r>
    </w:p>
    <w:p w14:paraId="68058C0A" w14:textId="77777777" w:rsidR="009764B4" w:rsidRDefault="009764B4" w:rsidP="000766F9">
      <w:pPr>
        <w:rPr>
          <w:b/>
          <w:bCs/>
        </w:rPr>
      </w:pPr>
    </w:p>
    <w:tbl>
      <w:tblPr>
        <w:tblW w:w="9925" w:type="dxa"/>
        <w:tblLook w:val="04A0" w:firstRow="1" w:lastRow="0" w:firstColumn="1" w:lastColumn="0" w:noHBand="0" w:noVBand="1"/>
      </w:tblPr>
      <w:tblGrid>
        <w:gridCol w:w="1400"/>
        <w:gridCol w:w="2400"/>
        <w:gridCol w:w="2060"/>
        <w:gridCol w:w="1060"/>
        <w:gridCol w:w="3005"/>
      </w:tblGrid>
      <w:tr w:rsidR="00F8262B" w:rsidRPr="009C773B" w14:paraId="700D839A" w14:textId="77777777" w:rsidTr="00604AE7">
        <w:trPr>
          <w:trHeight w:val="340"/>
          <w:tblHeader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0C76" w14:textId="77777777" w:rsidR="00F8262B" w:rsidRPr="009C773B" w:rsidRDefault="00F8262B" w:rsidP="00604AE7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9C77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CA"/>
              </w:rPr>
              <w:t>Application No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7EA66" w14:textId="77777777" w:rsidR="00F8262B" w:rsidRPr="009C773B" w:rsidRDefault="00F8262B" w:rsidP="00604AE7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9C77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CA"/>
              </w:rPr>
              <w:t xml:space="preserve">Project Name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83BAC" w14:textId="77777777" w:rsidR="00F8262B" w:rsidRPr="009C773B" w:rsidRDefault="00F8262B" w:rsidP="00604AE7">
            <w:pP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9C77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CA"/>
              </w:rPr>
              <w:t>Sponsor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60FA0" w14:textId="77777777" w:rsidR="00F8262B" w:rsidRPr="009C773B" w:rsidRDefault="00F8262B" w:rsidP="00604AE7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9C77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CA"/>
              </w:rPr>
              <w:t xml:space="preserve">Award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2344F" w14:textId="77777777" w:rsidR="00F8262B" w:rsidRPr="009C773B" w:rsidRDefault="00F8262B" w:rsidP="00604AE7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9C77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en-CA"/>
              </w:rPr>
              <w:t>Fundable Items</w:t>
            </w:r>
          </w:p>
        </w:tc>
      </w:tr>
      <w:tr w:rsidR="00F8262B" w:rsidRPr="009C773B" w14:paraId="24A97F30" w14:textId="77777777" w:rsidTr="00604AE7">
        <w:trPr>
          <w:trHeight w:val="792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EA108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>CPG2025-02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F493F1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 xml:space="preserve">Seniors Lunches &amp; Grow-a-Row Pilot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C2479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 xml:space="preserve">Farm to Family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FF7F8" w14:textId="77777777" w:rsidR="00F8262B" w:rsidRPr="009C773B" w:rsidRDefault="00F8262B" w:rsidP="00604AE7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b/>
                <w:bCs/>
                <w:color w:val="000000"/>
                <w:sz w:val="22"/>
                <w:lang w:eastAsia="en-CA"/>
              </w:rPr>
              <w:t>$3,940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8D6E9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>Project and volunteer coordination, meal ingredients, advertising</w:t>
            </w:r>
            <w:r>
              <w:rPr>
                <w:rFonts w:eastAsia="Times New Roman" w:cs="Calibri"/>
                <w:color w:val="000000"/>
                <w:sz w:val="22"/>
                <w:lang w:eastAsia="en-CA"/>
              </w:rPr>
              <w:t xml:space="preserve">, </w:t>
            </w: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>musician honoraria, Back Hall rentals; farmer payments; herb garden supplies.</w:t>
            </w:r>
          </w:p>
        </w:tc>
      </w:tr>
      <w:tr w:rsidR="00F8262B" w:rsidRPr="009C773B" w14:paraId="6D407F8E" w14:textId="77777777" w:rsidTr="00604AE7">
        <w:trPr>
          <w:trHeight w:val="86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12669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>CPG2025-06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B590C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 xml:space="preserve">ADIMS Anti-netting educational materials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83DF1A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 xml:space="preserve">Association of Denman Island Marine Stewards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12B5B2" w14:textId="77777777" w:rsidR="00F8262B" w:rsidRPr="009C773B" w:rsidRDefault="00F8262B" w:rsidP="00604AE7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b/>
                <w:bCs/>
                <w:color w:val="000000"/>
                <w:sz w:val="22"/>
                <w:lang w:eastAsia="en-CA"/>
              </w:rPr>
              <w:t>$1,500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151EC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 xml:space="preserve">Visual and educational media against antipredator shellfish industry netting. </w:t>
            </w:r>
          </w:p>
        </w:tc>
      </w:tr>
      <w:tr w:rsidR="00F8262B" w:rsidRPr="009C773B" w14:paraId="7F2EBE4C" w14:textId="77777777" w:rsidTr="00604AE7">
        <w:trPr>
          <w:trHeight w:val="1152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A6CF6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>CPG2025-10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2F54E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>Baynes Sound Eco Forum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9864E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>Baynes Sound/Lambert Channel Ecosystem Forum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D2376D" w14:textId="77777777" w:rsidR="00F8262B" w:rsidRPr="009C773B" w:rsidRDefault="00F8262B" w:rsidP="00604AE7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b/>
                <w:bCs/>
                <w:color w:val="000000"/>
                <w:sz w:val="22"/>
                <w:lang w:eastAsia="en-CA"/>
              </w:rPr>
              <w:t>$2,500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5294F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>Proto</w:t>
            </w:r>
            <w:r>
              <w:rPr>
                <w:rFonts w:eastAsia="Times New Roman" w:cs="Calibri"/>
                <w:color w:val="000000"/>
                <w:sz w:val="22"/>
                <w:lang w:eastAsia="en-CA"/>
              </w:rPr>
              <w:t>t</w:t>
            </w: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 xml:space="preserve">ype of the State of the Sound Report in order to engage funders for full report. Model development including content plan. </w:t>
            </w:r>
          </w:p>
        </w:tc>
      </w:tr>
      <w:tr w:rsidR="00F8262B" w:rsidRPr="009C773B" w14:paraId="74B13105" w14:textId="77777777" w:rsidTr="00604AE7">
        <w:trPr>
          <w:trHeight w:val="50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75A87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>CPG2025-12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68BCB1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>Art Studio Tour 2025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1BAF5C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 xml:space="preserve">Arts Denman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34D31" w14:textId="77777777" w:rsidR="00F8262B" w:rsidRPr="009C773B" w:rsidRDefault="00F8262B" w:rsidP="00604AE7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b/>
                <w:bCs/>
                <w:color w:val="000000"/>
                <w:sz w:val="22"/>
                <w:lang w:eastAsia="en-CA"/>
              </w:rPr>
              <w:t>$500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51270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 xml:space="preserve">Studio Tour coordination </w:t>
            </w:r>
          </w:p>
        </w:tc>
      </w:tr>
      <w:tr w:rsidR="00F8262B" w:rsidRPr="009C773B" w14:paraId="7E1C9D36" w14:textId="77777777" w:rsidTr="00604AE7">
        <w:trPr>
          <w:trHeight w:val="576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B280F4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>CPG2025-13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09FF75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>Looking Back Part Two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9A1E25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 xml:space="preserve">Denman Seniors and Museum Society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347FD" w14:textId="77777777" w:rsidR="00F8262B" w:rsidRPr="009C773B" w:rsidRDefault="00F8262B" w:rsidP="00604AE7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b/>
                <w:bCs/>
                <w:color w:val="000000"/>
                <w:sz w:val="22"/>
                <w:lang w:eastAsia="en-CA"/>
              </w:rPr>
              <w:t>$4,000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6D6086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 xml:space="preserve">Video editing </w:t>
            </w:r>
          </w:p>
        </w:tc>
      </w:tr>
      <w:tr w:rsidR="00F8262B" w:rsidRPr="009C773B" w14:paraId="50325D9A" w14:textId="77777777" w:rsidTr="00604AE7">
        <w:trPr>
          <w:trHeight w:val="86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82B16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>CPG2025-14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9B83E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>Calendar and Events System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8E06C7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 xml:space="preserve">Denman Island Recreation Commission Society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6DB7B" w14:textId="77777777" w:rsidR="00F8262B" w:rsidRPr="009C773B" w:rsidRDefault="00F8262B" w:rsidP="00604AE7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b/>
                <w:bCs/>
                <w:color w:val="000000"/>
                <w:sz w:val="22"/>
                <w:lang w:eastAsia="en-CA"/>
              </w:rPr>
              <w:t>$2,000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3ED9B2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 xml:space="preserve">Content management development support for community events calendar. </w:t>
            </w:r>
          </w:p>
        </w:tc>
      </w:tr>
      <w:tr w:rsidR="00F8262B" w:rsidRPr="009C773B" w14:paraId="3760CC2B" w14:textId="77777777" w:rsidTr="00604AE7">
        <w:trPr>
          <w:trHeight w:val="576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DB1EA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lastRenderedPageBreak/>
              <w:t>CPG2025-15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DF3719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 xml:space="preserve">Newcomers Event 2025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5192CD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 xml:space="preserve">Denman Seniors and Museum Society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97858" w14:textId="77777777" w:rsidR="00F8262B" w:rsidRPr="009C773B" w:rsidRDefault="00F8262B" w:rsidP="00604AE7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b/>
                <w:bCs/>
                <w:color w:val="000000"/>
                <w:sz w:val="22"/>
                <w:lang w:eastAsia="en-CA"/>
              </w:rPr>
              <w:t>$710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0AB8CF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 xml:space="preserve">Event advertising and refreshments </w:t>
            </w:r>
          </w:p>
        </w:tc>
      </w:tr>
      <w:tr w:rsidR="00F8262B" w:rsidRPr="009C773B" w14:paraId="0A00D3E7" w14:textId="77777777" w:rsidTr="00604AE7">
        <w:trPr>
          <w:trHeight w:val="86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567EA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>CPG2025-16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F02AC3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>Tool Library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A561DD" w14:textId="77777777" w:rsidR="00F8262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 xml:space="preserve">Denman Island Growers and Producers Association </w:t>
            </w:r>
          </w:p>
          <w:p w14:paraId="66A85232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62C1E" w14:textId="77777777" w:rsidR="00F8262B" w:rsidRPr="009C773B" w:rsidRDefault="00F8262B" w:rsidP="00604AE7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b/>
                <w:bCs/>
                <w:color w:val="000000"/>
                <w:sz w:val="22"/>
                <w:lang w:eastAsia="en-CA"/>
              </w:rPr>
              <w:t>$2,400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76094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 xml:space="preserve">Purchase of pasteurizer; bees wax roller; biochar burner </w:t>
            </w:r>
          </w:p>
        </w:tc>
      </w:tr>
      <w:tr w:rsidR="00F8262B" w:rsidRPr="009C773B" w14:paraId="6B1DD5F0" w14:textId="77777777" w:rsidTr="00604AE7">
        <w:trPr>
          <w:trHeight w:val="636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DF8FE" w14:textId="77777777" w:rsidR="00F8262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</w:p>
          <w:p w14:paraId="64D60B54" w14:textId="77777777" w:rsidR="00F8262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</w:p>
          <w:p w14:paraId="027D744E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>CPG2025-19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E37F32" w14:textId="77777777" w:rsidR="00F8262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</w:p>
          <w:p w14:paraId="2F93771C" w14:textId="77777777" w:rsidR="00F8262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</w:p>
          <w:p w14:paraId="474D44C3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 xml:space="preserve">Theatre Collective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53D3A3" w14:textId="77777777" w:rsidR="00F8262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</w:p>
          <w:p w14:paraId="7CEB1C82" w14:textId="77777777" w:rsidR="00F8262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</w:p>
          <w:p w14:paraId="62B190A6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>Ar</w:t>
            </w:r>
            <w:r>
              <w:rPr>
                <w:rFonts w:eastAsia="Times New Roman" w:cs="Calibri"/>
                <w:color w:val="000000"/>
                <w:sz w:val="22"/>
                <w:lang w:eastAsia="en-CA"/>
              </w:rPr>
              <w:t>t</w:t>
            </w: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 xml:space="preserve">s Denman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72006" w14:textId="77777777" w:rsidR="00F8262B" w:rsidRDefault="00F8262B" w:rsidP="00604AE7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lang w:eastAsia="en-CA"/>
              </w:rPr>
            </w:pPr>
          </w:p>
          <w:p w14:paraId="1964595A" w14:textId="77777777" w:rsidR="00F8262B" w:rsidRDefault="00F8262B" w:rsidP="00604AE7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lang w:eastAsia="en-CA"/>
              </w:rPr>
            </w:pPr>
          </w:p>
          <w:p w14:paraId="39C49D00" w14:textId="77777777" w:rsidR="00F8262B" w:rsidRPr="009C773B" w:rsidRDefault="00F8262B" w:rsidP="00604AE7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b/>
                <w:bCs/>
                <w:color w:val="000000"/>
                <w:sz w:val="22"/>
                <w:lang w:eastAsia="en-CA"/>
              </w:rPr>
              <w:t>$2,000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C7D188" w14:textId="77777777" w:rsidR="00F8262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</w:p>
          <w:p w14:paraId="530843C7" w14:textId="77777777" w:rsidR="002B482E" w:rsidRDefault="002B482E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</w:p>
          <w:p w14:paraId="7ABE21A6" w14:textId="4947655C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>Completion of Moonrise soundtrack, Merchandise, Social media promotion, Coaching 5-10 workshops, Promo material, Overhead projector, Costumes &amp; set design.</w:t>
            </w:r>
          </w:p>
        </w:tc>
      </w:tr>
      <w:tr w:rsidR="00F8262B" w:rsidRPr="009C773B" w14:paraId="1DD0E778" w14:textId="77777777" w:rsidTr="00604AE7">
        <w:trPr>
          <w:trHeight w:val="86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5431B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>CPG2025-21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0C6ACE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>DICES Website update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A2E62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 xml:space="preserve">Denman Island Community Education Society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265BB" w14:textId="77777777" w:rsidR="00F8262B" w:rsidRPr="009C773B" w:rsidRDefault="00F8262B" w:rsidP="00604AE7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b/>
                <w:bCs/>
                <w:color w:val="000000"/>
                <w:sz w:val="22"/>
                <w:lang w:eastAsia="en-CA"/>
              </w:rPr>
              <w:t>$2,000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8581C9" w14:textId="77777777" w:rsidR="00F8262B" w:rsidRPr="009C773B" w:rsidRDefault="00F8262B" w:rsidP="00604AE7">
            <w:pPr>
              <w:rPr>
                <w:rFonts w:eastAsia="Times New Roman" w:cs="Calibri"/>
                <w:color w:val="000000"/>
                <w:sz w:val="22"/>
                <w:lang w:eastAsia="en-CA"/>
              </w:rPr>
            </w:pPr>
            <w:r w:rsidRPr="009C773B">
              <w:rPr>
                <w:rFonts w:eastAsia="Times New Roman" w:cs="Calibri"/>
                <w:color w:val="000000"/>
                <w:sz w:val="22"/>
                <w:lang w:eastAsia="en-CA"/>
              </w:rPr>
              <w:t>Website design, laptop replacement, or administration fee.</w:t>
            </w:r>
          </w:p>
        </w:tc>
      </w:tr>
    </w:tbl>
    <w:p w14:paraId="49A6D01A" w14:textId="77777777" w:rsidR="009764B4" w:rsidRDefault="009764B4" w:rsidP="000766F9">
      <w:pPr>
        <w:rPr>
          <w:b/>
          <w:bCs/>
        </w:rPr>
      </w:pPr>
    </w:p>
    <w:p w14:paraId="2DB491D7" w14:textId="2DAEF3F5" w:rsidR="00CC774B" w:rsidRDefault="003D1CBE" w:rsidP="006B5660">
      <w:r w:rsidRPr="00E5361A">
        <w:rPr>
          <w:u w:val="single"/>
        </w:rPr>
        <w:t>Outlook for 2026:</w:t>
      </w:r>
      <w:r>
        <w:rPr>
          <w:b/>
          <w:bCs/>
        </w:rPr>
        <w:t xml:space="preserve"> </w:t>
      </w:r>
      <w:r w:rsidR="00841C2C">
        <w:t>T</w:t>
      </w:r>
      <w:r w:rsidR="00AE565C">
        <w:t xml:space="preserve">he budget for grants has been increased from </w:t>
      </w:r>
      <w:r w:rsidR="00841C2C">
        <w:t xml:space="preserve">$20,000 </w:t>
      </w:r>
      <w:r w:rsidR="00CC774B">
        <w:t xml:space="preserve">to $25,000. </w:t>
      </w:r>
    </w:p>
    <w:p w14:paraId="08EF5DDC" w14:textId="77777777" w:rsidR="00CC774B" w:rsidRDefault="00CC774B" w:rsidP="00841C2C">
      <w:pPr>
        <w:ind w:left="720"/>
      </w:pPr>
    </w:p>
    <w:p w14:paraId="60EDC3F5" w14:textId="77777777" w:rsidR="00841C2C" w:rsidRDefault="000766F9" w:rsidP="000766F9">
      <w:r w:rsidRPr="005C28D7">
        <w:rPr>
          <w:b/>
          <w:bCs/>
        </w:rPr>
        <w:t>Grant Facili</w:t>
      </w:r>
      <w:r>
        <w:rPr>
          <w:b/>
          <w:bCs/>
        </w:rPr>
        <w:t>tation</w:t>
      </w:r>
      <w:r w:rsidR="00BA4A58">
        <w:rPr>
          <w:b/>
          <w:bCs/>
        </w:rPr>
        <w:t xml:space="preserve">: </w:t>
      </w:r>
      <w:r w:rsidR="00AE178F" w:rsidRPr="0080172F">
        <w:t xml:space="preserve">We continued to subscribe to a national grants database </w:t>
      </w:r>
      <w:r w:rsidR="0080172F" w:rsidRPr="0080172F">
        <w:t xml:space="preserve">and to fund additional subscriptions for more active users. </w:t>
      </w:r>
      <w:r w:rsidR="0080172F">
        <w:t xml:space="preserve">This year we also began distribution </w:t>
      </w:r>
      <w:r w:rsidR="00E37365">
        <w:t xml:space="preserve">of </w:t>
      </w:r>
      <w:r w:rsidR="0080172F">
        <w:t xml:space="preserve">grant </w:t>
      </w:r>
      <w:r w:rsidR="008F6E04">
        <w:t>news to non-profits and individuals as th</w:t>
      </w:r>
      <w:r w:rsidR="00E37365">
        <w:t xml:space="preserve">is comes our way. </w:t>
      </w:r>
    </w:p>
    <w:p w14:paraId="78F43279" w14:textId="77777777" w:rsidR="00841C2C" w:rsidRDefault="00841C2C" w:rsidP="000766F9"/>
    <w:p w14:paraId="4DBD6B30" w14:textId="18FE6929" w:rsidR="00354598" w:rsidRPr="00E5361A" w:rsidRDefault="00841C2C" w:rsidP="00841C2C">
      <w:pPr>
        <w:ind w:left="720"/>
      </w:pPr>
      <w:r w:rsidRPr="001947FF">
        <w:rPr>
          <w:u w:val="single"/>
        </w:rPr>
        <w:t>Outlook for 2026</w:t>
      </w:r>
      <w:r w:rsidRPr="00841C2C">
        <w:rPr>
          <w:b/>
          <w:bCs/>
        </w:rPr>
        <w:t>:</w:t>
      </w:r>
      <w:r w:rsidR="00F367BF" w:rsidRPr="00841C2C">
        <w:rPr>
          <w:b/>
          <w:bCs/>
        </w:rPr>
        <w:t xml:space="preserve"> </w:t>
      </w:r>
      <w:r w:rsidR="00E5361A">
        <w:rPr>
          <w:b/>
          <w:bCs/>
        </w:rPr>
        <w:t xml:space="preserve"> </w:t>
      </w:r>
      <w:r w:rsidR="00E5361A">
        <w:t xml:space="preserve">Grant facilitation will be </w:t>
      </w:r>
      <w:r w:rsidR="00827F68">
        <w:t xml:space="preserve">put on hold. </w:t>
      </w:r>
      <w:r w:rsidR="00550581">
        <w:t xml:space="preserve">The database subscription will not be renewed. Our </w:t>
      </w:r>
      <w:r w:rsidR="00351F8E">
        <w:t xml:space="preserve">experience </w:t>
      </w:r>
      <w:r w:rsidR="00550581">
        <w:t xml:space="preserve">is that </w:t>
      </w:r>
      <w:r w:rsidR="00052757">
        <w:t xml:space="preserve">organizations that need funding already have the appropriate opportunities in hand and that the </w:t>
      </w:r>
      <w:r w:rsidR="00E57DBB">
        <w:t xml:space="preserve">grants database </w:t>
      </w:r>
      <w:r w:rsidR="00A62898">
        <w:t xml:space="preserve">does not make a significant </w:t>
      </w:r>
      <w:r w:rsidR="00E57DBB">
        <w:t xml:space="preserve">contribution. </w:t>
      </w:r>
      <w:r w:rsidR="00441AB2">
        <w:t xml:space="preserve">People tell us they want it, and we pay for </w:t>
      </w:r>
      <w:proofErr w:type="spellStart"/>
      <w:r w:rsidR="00441AB2">
        <w:t>subscrptions</w:t>
      </w:r>
      <w:proofErr w:type="spellEnd"/>
      <w:r w:rsidR="00441AB2">
        <w:t xml:space="preserve">, but no one has yet come back to say what benefits they obtained. </w:t>
      </w:r>
    </w:p>
    <w:p w14:paraId="25851C6C" w14:textId="77777777" w:rsidR="0054442B" w:rsidRDefault="0054442B" w:rsidP="000766F9">
      <w:pPr>
        <w:rPr>
          <w:b/>
          <w:bCs/>
        </w:rPr>
      </w:pPr>
    </w:p>
    <w:p w14:paraId="2B6F50AC" w14:textId="77777777" w:rsidR="00CB4E56" w:rsidRDefault="000766F9" w:rsidP="000766F9">
      <w:pPr>
        <w:rPr>
          <w:b/>
          <w:bCs/>
        </w:rPr>
      </w:pPr>
      <w:r>
        <w:rPr>
          <w:b/>
          <w:bCs/>
        </w:rPr>
        <w:t>Brochures and Marketing</w:t>
      </w:r>
    </w:p>
    <w:p w14:paraId="23720EAE" w14:textId="49C87CFA" w:rsidR="000766F9" w:rsidRDefault="00D049EB" w:rsidP="000766F9">
      <w:pPr>
        <w:rPr>
          <w:b/>
          <w:bCs/>
        </w:rPr>
      </w:pPr>
      <w:r>
        <w:rPr>
          <w:b/>
          <w:bCs/>
        </w:rPr>
        <w:t xml:space="preserve"> </w:t>
      </w:r>
    </w:p>
    <w:p w14:paraId="62882562" w14:textId="483BB34E" w:rsidR="00CC33AC" w:rsidRDefault="00CC33AC" w:rsidP="00CC33AC">
      <w:pPr>
        <w:pStyle w:val="ListParagraph"/>
        <w:numPr>
          <w:ilvl w:val="0"/>
          <w:numId w:val="6"/>
        </w:numPr>
      </w:pPr>
      <w:r w:rsidRPr="00CC33AC">
        <w:t xml:space="preserve">DW contributed again to the production of the </w:t>
      </w:r>
      <w:r w:rsidRPr="00CB4E56">
        <w:rPr>
          <w:b/>
          <w:bCs/>
        </w:rPr>
        <w:t>Hornby/Denman Visitor brochure</w:t>
      </w:r>
      <w:r w:rsidR="00A72E05">
        <w:t xml:space="preserve"> at a very reasonable, one-time cost. </w:t>
      </w:r>
      <w:r w:rsidR="00C55906">
        <w:t>About 25,000 are printed</w:t>
      </w:r>
      <w:r w:rsidR="00860117">
        <w:t xml:space="preserve"> </w:t>
      </w:r>
      <w:r w:rsidR="00A246D6">
        <w:t>The so-called “map brochure” is put together by HICEEC</w:t>
      </w:r>
      <w:r w:rsidR="00763604">
        <w:t xml:space="preserve"> with distribution in v</w:t>
      </w:r>
      <w:r w:rsidR="00AE6A1B">
        <w:t>i</w:t>
      </w:r>
      <w:r w:rsidR="00763604">
        <w:t>sit</w:t>
      </w:r>
      <w:r w:rsidR="00AE6A1B">
        <w:t>or</w:t>
      </w:r>
      <w:r w:rsidR="00763604">
        <w:t xml:space="preserve"> centres </w:t>
      </w:r>
      <w:r w:rsidR="005072D1">
        <w:t xml:space="preserve">on Vancouver Island and major ferry routes. </w:t>
      </w:r>
      <w:r w:rsidR="00AE6A1B">
        <w:t xml:space="preserve">It is picked up </w:t>
      </w:r>
      <w:r w:rsidR="00CC275C">
        <w:t xml:space="preserve">by </w:t>
      </w:r>
      <w:r w:rsidR="00AE6A1B">
        <w:t xml:space="preserve">day trippers and anyone wanting to explore the </w:t>
      </w:r>
      <w:r w:rsidR="00AE6A1B">
        <w:lastRenderedPageBreak/>
        <w:t xml:space="preserve">islands </w:t>
      </w:r>
      <w:r w:rsidR="00624429">
        <w:t>with the only comprehensive maps</w:t>
      </w:r>
      <w:proofErr w:type="gramStart"/>
      <w:r w:rsidR="00624429">
        <w:t xml:space="preserve">. </w:t>
      </w:r>
      <w:r w:rsidR="00C55906">
        <w:t>.</w:t>
      </w:r>
      <w:proofErr w:type="gramEnd"/>
      <w:r w:rsidR="00C55906">
        <w:t xml:space="preserve"> It is interesting to note that Denman is the largest contributor of advertising.</w:t>
      </w:r>
    </w:p>
    <w:p w14:paraId="0B57075A" w14:textId="77777777" w:rsidR="00093F6A" w:rsidRDefault="009A31EF" w:rsidP="00CC33AC">
      <w:pPr>
        <w:pStyle w:val="ListParagraph"/>
        <w:numPr>
          <w:ilvl w:val="0"/>
          <w:numId w:val="6"/>
        </w:numPr>
      </w:pPr>
      <w:r w:rsidRPr="0076454F">
        <w:rPr>
          <w:b/>
          <w:bCs/>
        </w:rPr>
        <w:t xml:space="preserve">Visit Denman Island </w:t>
      </w:r>
      <w:r w:rsidR="00CC275C" w:rsidRPr="0076454F">
        <w:rPr>
          <w:b/>
          <w:bCs/>
        </w:rPr>
        <w:t>website</w:t>
      </w:r>
      <w:r w:rsidR="00CC275C">
        <w:t xml:space="preserve"> </w:t>
      </w:r>
      <w:r>
        <w:t>was updated with events and listings</w:t>
      </w:r>
      <w:r w:rsidR="00BD210E">
        <w:t xml:space="preserve"> as well as artist profiles. It remains the </w:t>
      </w:r>
      <w:r w:rsidR="005C4884">
        <w:t xml:space="preserve">top </w:t>
      </w:r>
      <w:r w:rsidR="00BD210E">
        <w:t xml:space="preserve">site </w:t>
      </w:r>
      <w:r w:rsidR="005C4884">
        <w:t xml:space="preserve">on Google </w:t>
      </w:r>
      <w:r w:rsidR="00BD210E">
        <w:t xml:space="preserve">for information on Denman Island and receives numerous email enquiries, </w:t>
      </w:r>
      <w:r w:rsidR="00CA57A2">
        <w:t xml:space="preserve">mainly about accommodation. As a consequence, we now maintain a list of accommodation that can sent out in reply to enquiries. </w:t>
      </w:r>
      <w:r w:rsidR="005C4884">
        <w:t>It is also search</w:t>
      </w:r>
      <w:r w:rsidR="00BB5A7F">
        <w:t>a</w:t>
      </w:r>
      <w:r w:rsidR="005C4884">
        <w:t>ble using AI</w:t>
      </w:r>
      <w:r w:rsidR="00BB5A7F">
        <w:t xml:space="preserve">. Many thanks are due to Laura Busheikin for her fine articles and </w:t>
      </w:r>
      <w:r w:rsidR="00E76693">
        <w:t xml:space="preserve">artist profiles. </w:t>
      </w:r>
    </w:p>
    <w:p w14:paraId="3824EDEC" w14:textId="77777777" w:rsidR="00093F6A" w:rsidRDefault="00093F6A" w:rsidP="00093F6A">
      <w:pPr>
        <w:pStyle w:val="ListParagraph"/>
      </w:pPr>
    </w:p>
    <w:p w14:paraId="11A19789" w14:textId="77777777" w:rsidR="00675628" w:rsidRDefault="00093F6A" w:rsidP="003248BB">
      <w:pPr>
        <w:ind w:left="720"/>
      </w:pPr>
      <w:r w:rsidRPr="00AB2F62">
        <w:rPr>
          <w:u w:val="single"/>
        </w:rPr>
        <w:t>Outlook for 2</w:t>
      </w:r>
      <w:r w:rsidR="00F024A9">
        <w:rPr>
          <w:u w:val="single"/>
        </w:rPr>
        <w:t>025:</w:t>
      </w:r>
      <w:r w:rsidR="00F024A9">
        <w:t xml:space="preserve"> </w:t>
      </w:r>
    </w:p>
    <w:p w14:paraId="23A39684" w14:textId="4392087D" w:rsidR="0076454F" w:rsidRDefault="00F024A9" w:rsidP="00675628">
      <w:pPr>
        <w:pStyle w:val="ListParagraph"/>
        <w:numPr>
          <w:ilvl w:val="0"/>
          <w:numId w:val="7"/>
        </w:numPr>
      </w:pPr>
      <w:r>
        <w:t xml:space="preserve">Visit Denman Island is </w:t>
      </w:r>
      <w:r w:rsidR="003248BB">
        <w:t xml:space="preserve">long </w:t>
      </w:r>
      <w:r>
        <w:t>overdue for a major technical and design upgrade</w:t>
      </w:r>
      <w:r w:rsidR="003C0ADE">
        <w:t>. The budget for VDI will be used to fund the upgrade</w:t>
      </w:r>
      <w:r w:rsidR="005151F7">
        <w:t xml:space="preserve">. This will impact </w:t>
      </w:r>
      <w:r w:rsidR="00D85C7B">
        <w:t xml:space="preserve">the effort to hire </w:t>
      </w:r>
      <w:r w:rsidR="008C2338">
        <w:t>a content manager</w:t>
      </w:r>
      <w:r w:rsidR="00334D5A">
        <w:t xml:space="preserve"> to manage the site. That may change if other funding sources are found, but the upgrade cannot wait. </w:t>
      </w:r>
    </w:p>
    <w:p w14:paraId="592AF829" w14:textId="47587F69" w:rsidR="00DA2137" w:rsidRDefault="00DA2137" w:rsidP="00675628">
      <w:pPr>
        <w:pStyle w:val="ListParagraph"/>
        <w:numPr>
          <w:ilvl w:val="0"/>
          <w:numId w:val="7"/>
        </w:numPr>
      </w:pPr>
      <w:r>
        <w:t xml:space="preserve">Denman has been described at the perfect </w:t>
      </w:r>
      <w:r w:rsidR="00FB1EC6">
        <w:t xml:space="preserve">day trip. A new initiative will be the creation of a </w:t>
      </w:r>
      <w:r w:rsidR="00FB1EC6" w:rsidRPr="00F43FFF">
        <w:rPr>
          <w:b/>
          <w:bCs/>
        </w:rPr>
        <w:t>“What to Do On Denman brochure”</w:t>
      </w:r>
      <w:r w:rsidR="00FB1EC6">
        <w:t xml:space="preserve"> which will be prepared in consultation with </w:t>
      </w:r>
      <w:r w:rsidR="008E1796">
        <w:t>vendors and groups who host visitors such as the Museum &amp; Archives</w:t>
      </w:r>
      <w:r w:rsidR="00B652F4">
        <w:t xml:space="preserve"> or provide amenities such as trails. </w:t>
      </w:r>
    </w:p>
    <w:p w14:paraId="7E05B5CD" w14:textId="7163FB10" w:rsidR="00860117" w:rsidRPr="00CC33AC" w:rsidRDefault="00C43CBF" w:rsidP="001947FF">
      <w:pPr>
        <w:ind w:left="1440"/>
      </w:pPr>
      <w:r>
        <w:t xml:space="preserve"> </w:t>
      </w:r>
    </w:p>
    <w:p w14:paraId="6D1BAA78" w14:textId="41B04C45" w:rsidR="00290556" w:rsidRPr="00675628" w:rsidRDefault="00FB0D6E" w:rsidP="0076454F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Art Walk Brochure</w:t>
      </w:r>
      <w:r w:rsidR="00D666E9">
        <w:rPr>
          <w:b/>
          <w:bCs/>
        </w:rPr>
        <w:t xml:space="preserve">: </w:t>
      </w:r>
      <w:r w:rsidR="00D666E9">
        <w:t xml:space="preserve">The </w:t>
      </w:r>
      <w:r w:rsidR="003404AE">
        <w:t>popular b</w:t>
      </w:r>
      <w:r w:rsidR="00D666E9">
        <w:t xml:space="preserve">rochure needs annual update. </w:t>
      </w:r>
      <w:r w:rsidR="00C96A77">
        <w:t xml:space="preserve">Again, our thanks to Laura Busheikin for her initiative in bringing this idea forward and putting it into effect. </w:t>
      </w:r>
      <w:r w:rsidR="005A7AF7">
        <w:t>Responsibility is nominally shared with Arts Denman</w:t>
      </w:r>
      <w:r w:rsidR="00B70163">
        <w:t xml:space="preserve">. </w:t>
      </w:r>
      <w:r w:rsidR="00675628">
        <w:t xml:space="preserve"> </w:t>
      </w:r>
    </w:p>
    <w:p w14:paraId="3859567F" w14:textId="77777777" w:rsidR="00A86362" w:rsidRDefault="00A86362" w:rsidP="000766F9">
      <w:pPr>
        <w:rPr>
          <w:b/>
          <w:bCs/>
        </w:rPr>
      </w:pPr>
    </w:p>
    <w:p w14:paraId="34F80F46" w14:textId="265CBBA3" w:rsidR="00C83874" w:rsidRPr="00952811" w:rsidRDefault="00C83874" w:rsidP="000766F9">
      <w:r w:rsidRPr="00952811">
        <w:rPr>
          <w:b/>
          <w:bCs/>
        </w:rPr>
        <w:t>Resource Centre</w:t>
      </w:r>
      <w:r w:rsidR="00952811">
        <w:rPr>
          <w:b/>
          <w:bCs/>
        </w:rPr>
        <w:t>:</w:t>
      </w:r>
      <w:r w:rsidR="00952811">
        <w:t xml:space="preserve"> the </w:t>
      </w:r>
      <w:r w:rsidR="00F14B18">
        <w:t xml:space="preserve">Centre offers a number of services: the Skills Directory, Job Board, </w:t>
      </w:r>
      <w:r w:rsidR="00F17844">
        <w:t xml:space="preserve">and Community Pages. </w:t>
      </w:r>
    </w:p>
    <w:p w14:paraId="506757DF" w14:textId="77777777" w:rsidR="00C83874" w:rsidRPr="00952811" w:rsidRDefault="00C83874" w:rsidP="000766F9"/>
    <w:p w14:paraId="0A99E4E8" w14:textId="44F9D67F" w:rsidR="00566D80" w:rsidRDefault="000766F9" w:rsidP="00C83874">
      <w:pPr>
        <w:ind w:left="720"/>
      </w:pPr>
      <w:r w:rsidRPr="007B2031">
        <w:rPr>
          <w:b/>
          <w:bCs/>
        </w:rPr>
        <w:t xml:space="preserve">Community Information </w:t>
      </w:r>
      <w:r w:rsidR="00D85C7B" w:rsidRPr="007B2031">
        <w:rPr>
          <w:b/>
          <w:bCs/>
        </w:rPr>
        <w:t>Port</w:t>
      </w:r>
      <w:r w:rsidR="00952811" w:rsidRPr="007B2031">
        <w:rPr>
          <w:b/>
          <w:bCs/>
        </w:rPr>
        <w:t>al</w:t>
      </w:r>
      <w:r w:rsidR="00035394">
        <w:rPr>
          <w:b/>
          <w:bCs/>
        </w:rPr>
        <w:t>:</w:t>
      </w:r>
      <w:r w:rsidR="00493C55">
        <w:rPr>
          <w:b/>
          <w:bCs/>
        </w:rPr>
        <w:t xml:space="preserve"> </w:t>
      </w:r>
      <w:r w:rsidR="007C27B4">
        <w:t xml:space="preserve">Over the past two years, Denman Works has been working with Graham Hayman to develop </w:t>
      </w:r>
      <w:r w:rsidR="0048132C">
        <w:t xml:space="preserve">what are now our community pages into an information portal about Denman Island, </w:t>
      </w:r>
      <w:r w:rsidR="00F54FA3">
        <w:t xml:space="preserve">aimed at residents, </w:t>
      </w:r>
      <w:r w:rsidR="0048132C">
        <w:t xml:space="preserve">tentatively envisioned as </w:t>
      </w:r>
      <w:r w:rsidR="001E10DB">
        <w:t xml:space="preserve">a sort of guide to how to live on Denman. </w:t>
      </w:r>
      <w:r w:rsidR="000D6FB8">
        <w:t xml:space="preserve">This needs to be a more visible wellsite that is AI searchable. </w:t>
      </w:r>
      <w:r w:rsidR="00493C55" w:rsidRPr="00493C55">
        <w:t xml:space="preserve">The </w:t>
      </w:r>
      <w:r w:rsidR="001E10DB">
        <w:t>content archit</w:t>
      </w:r>
      <w:r w:rsidR="002B1FAC">
        <w:t xml:space="preserve">ecture and a number </w:t>
      </w:r>
      <w:proofErr w:type="gramStart"/>
      <w:r w:rsidR="002B1FAC">
        <w:t>has</w:t>
      </w:r>
      <w:proofErr w:type="gramEnd"/>
      <w:r w:rsidR="002B1FAC">
        <w:t xml:space="preserve"> been researched</w:t>
      </w:r>
      <w:r w:rsidR="00825B35">
        <w:t xml:space="preserve">. While </w:t>
      </w:r>
      <w:r w:rsidR="00EF0982">
        <w:t xml:space="preserve">the range of topics is by no means comprehensive, </w:t>
      </w:r>
      <w:r w:rsidR="00825B35">
        <w:t xml:space="preserve">it is sufficient to </w:t>
      </w:r>
      <w:r w:rsidR="00584DA3">
        <w:t>serve as the basis for the development of a technical design</w:t>
      </w:r>
      <w:r w:rsidR="00566D80">
        <w:t xml:space="preserve">. </w:t>
      </w:r>
    </w:p>
    <w:p w14:paraId="12822B6E" w14:textId="77777777" w:rsidR="00566D80" w:rsidRDefault="00566D80" w:rsidP="00EF1341">
      <w:pPr>
        <w:ind w:left="1440"/>
      </w:pPr>
    </w:p>
    <w:p w14:paraId="4553D10E" w14:textId="77777777" w:rsidR="008909AA" w:rsidRDefault="008909AA" w:rsidP="00C83874">
      <w:pPr>
        <w:ind w:left="720"/>
      </w:pPr>
    </w:p>
    <w:p w14:paraId="2B0F506D" w14:textId="6D870F09" w:rsidR="007A096C" w:rsidRDefault="009114BD" w:rsidP="00C83874">
      <w:pPr>
        <w:ind w:left="720"/>
      </w:pPr>
      <w:r w:rsidRPr="003A2AFE">
        <w:rPr>
          <w:b/>
          <w:bCs/>
        </w:rPr>
        <w:t>Skills Directory</w:t>
      </w:r>
      <w:r w:rsidR="00D40BC7">
        <w:t xml:space="preserve"> has about 120 entries in the many </w:t>
      </w:r>
      <w:r w:rsidR="00B87AB5">
        <w:t>distinct categories</w:t>
      </w:r>
      <w:r w:rsidR="003A2AFE">
        <w:t xml:space="preserve"> of activity</w:t>
      </w:r>
      <w:r w:rsidR="00D40BC7">
        <w:t xml:space="preserve">. </w:t>
      </w:r>
      <w:r w:rsidR="00931B5B">
        <w:t xml:space="preserve">In itself, it is a useful picture of </w:t>
      </w:r>
      <w:r w:rsidR="00AC6212">
        <w:t xml:space="preserve">Denman’s economy. </w:t>
      </w:r>
      <w:r w:rsidR="007A096C">
        <w:t xml:space="preserve">The listings are free. </w:t>
      </w:r>
    </w:p>
    <w:p w14:paraId="33FA7132" w14:textId="6E39BA5D" w:rsidR="0025098B" w:rsidRDefault="007A096C" w:rsidP="00E1558B">
      <w:pPr>
        <w:ind w:left="1080"/>
      </w:pPr>
      <w:r w:rsidRPr="00E1558B">
        <w:rPr>
          <w:u w:val="single"/>
        </w:rPr>
        <w:lastRenderedPageBreak/>
        <w:t>Outlook for 2026</w:t>
      </w:r>
      <w:r>
        <w:t xml:space="preserve">: </w:t>
      </w:r>
      <w:r w:rsidR="001D5051">
        <w:t xml:space="preserve">The </w:t>
      </w:r>
      <w:r w:rsidR="00BE1E43">
        <w:t xml:space="preserve">Skills Directory </w:t>
      </w:r>
      <w:r w:rsidR="00424883">
        <w:t>could be better focused on areas where there is a dearth of help, such as comp</w:t>
      </w:r>
      <w:r w:rsidR="000365E4">
        <w:t>uter assistance, and need</w:t>
      </w:r>
      <w:r w:rsidR="00BE2366">
        <w:t>s</w:t>
      </w:r>
      <w:r w:rsidR="000365E4">
        <w:t xml:space="preserve"> to be more visible. </w:t>
      </w:r>
      <w:r w:rsidR="00573C29">
        <w:t>It is one source of information about available skills among many, other</w:t>
      </w:r>
      <w:r w:rsidR="00BE2366">
        <w:t>s</w:t>
      </w:r>
      <w:r w:rsidR="00573C29">
        <w:t xml:space="preserve"> including newspaper classified, online bulletin boards, </w:t>
      </w:r>
      <w:r w:rsidR="00B27AF2">
        <w:t xml:space="preserve">social media, and </w:t>
      </w:r>
      <w:r w:rsidR="00814F06">
        <w:t xml:space="preserve">personal contact. </w:t>
      </w:r>
      <w:r w:rsidR="00303322">
        <w:t>These will all be acknowledged</w:t>
      </w:r>
      <w:r w:rsidR="001A599A">
        <w:t xml:space="preserve">. </w:t>
      </w:r>
      <w:r w:rsidR="00443313">
        <w:t xml:space="preserve"> </w:t>
      </w:r>
      <w:r w:rsidR="00941BF7">
        <w:t xml:space="preserve">The eventual plan is to incorporate it into </w:t>
      </w:r>
      <w:r w:rsidR="00E1558B">
        <w:t xml:space="preserve">a Community Information portal. </w:t>
      </w:r>
    </w:p>
    <w:p w14:paraId="66ED569B" w14:textId="77777777" w:rsidR="00C83874" w:rsidRDefault="00C83874" w:rsidP="00C83874">
      <w:pPr>
        <w:ind w:left="720"/>
      </w:pPr>
    </w:p>
    <w:p w14:paraId="78D5659A" w14:textId="3911A7FF" w:rsidR="00941BF7" w:rsidRDefault="00814F06" w:rsidP="00C83874">
      <w:pPr>
        <w:ind w:left="720"/>
      </w:pPr>
      <w:r>
        <w:rPr>
          <w:b/>
          <w:bCs/>
        </w:rPr>
        <w:t>Job Board</w:t>
      </w:r>
      <w:r w:rsidR="0086480B">
        <w:rPr>
          <w:b/>
          <w:bCs/>
        </w:rPr>
        <w:t xml:space="preserve"> </w:t>
      </w:r>
      <w:r w:rsidR="00F70095">
        <w:t>is mainly used for more formal job postings, such as work with Hornby Denman Community Health</w:t>
      </w:r>
      <w:r w:rsidR="00E24315">
        <w:t xml:space="preserve"> of which few come through. </w:t>
      </w:r>
      <w:r w:rsidR="00BE6C20">
        <w:t>Social media</w:t>
      </w:r>
      <w:r w:rsidR="002D4F7D">
        <w:t>,</w:t>
      </w:r>
      <w:r w:rsidR="00FF27CE">
        <w:t xml:space="preserve"> bulletin boards</w:t>
      </w:r>
      <w:r w:rsidR="00005F60">
        <w:t>,</w:t>
      </w:r>
      <w:r w:rsidR="00FF27CE">
        <w:t xml:space="preserve"> </w:t>
      </w:r>
      <w:r w:rsidR="00123C9B">
        <w:t xml:space="preserve">the </w:t>
      </w:r>
      <w:r w:rsidR="00005F60">
        <w:t xml:space="preserve">classified ads, </w:t>
      </w:r>
      <w:r w:rsidR="00840DD9">
        <w:t xml:space="preserve">and personal contacts </w:t>
      </w:r>
      <w:r w:rsidR="00FF27CE">
        <w:t xml:space="preserve">are </w:t>
      </w:r>
      <w:r w:rsidR="00221034">
        <w:t xml:space="preserve">more popular resources for jobs of a part time or </w:t>
      </w:r>
      <w:r w:rsidR="007E07DA">
        <w:t>short-term nature</w:t>
      </w:r>
      <w:r w:rsidR="00AA2408">
        <w:t xml:space="preserve"> which constitute the bulk of opportunities. </w:t>
      </w:r>
    </w:p>
    <w:p w14:paraId="496B0F32" w14:textId="13A841AB" w:rsidR="00E1558B" w:rsidRPr="00E1558B" w:rsidRDefault="00E1558B" w:rsidP="00E1558B">
      <w:pPr>
        <w:ind w:left="1440"/>
      </w:pPr>
      <w:r w:rsidRPr="006D6AA1">
        <w:rPr>
          <w:u w:val="single"/>
        </w:rPr>
        <w:t>Outlook for 2026</w:t>
      </w:r>
      <w:r>
        <w:rPr>
          <w:u w:val="single"/>
        </w:rPr>
        <w:t>:</w:t>
      </w:r>
      <w:r>
        <w:rPr>
          <w:b/>
          <w:bCs/>
        </w:rPr>
        <w:t xml:space="preserve"> </w:t>
      </w:r>
      <w:r w:rsidR="00CF2C1C">
        <w:t xml:space="preserve">Long term, the Job Board should become a feature of the Community Information Portal. </w:t>
      </w:r>
    </w:p>
    <w:p w14:paraId="1829412F" w14:textId="77777777" w:rsidR="00941BF7" w:rsidRDefault="00941BF7" w:rsidP="00C83874">
      <w:pPr>
        <w:ind w:left="720"/>
      </w:pPr>
    </w:p>
    <w:p w14:paraId="06B419B2" w14:textId="2DA7C47A" w:rsidR="00C83874" w:rsidRPr="00687E3A" w:rsidRDefault="007E07DA" w:rsidP="00C83874">
      <w:pPr>
        <w:ind w:left="720"/>
      </w:pPr>
      <w:r>
        <w:t xml:space="preserve"> </w:t>
      </w:r>
      <w:r w:rsidR="00221034">
        <w:t xml:space="preserve"> </w:t>
      </w:r>
    </w:p>
    <w:p w14:paraId="68B9D897" w14:textId="77777777" w:rsidR="00384A71" w:rsidRDefault="00384A71" w:rsidP="00C83874">
      <w:pPr>
        <w:ind w:left="720"/>
      </w:pPr>
    </w:p>
    <w:sectPr w:rsidR="00384A71" w:rsidSect="00390888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63B52" w14:textId="77777777" w:rsidR="00270F9D" w:rsidRDefault="00270F9D" w:rsidP="007E18BD">
      <w:r>
        <w:separator/>
      </w:r>
    </w:p>
  </w:endnote>
  <w:endnote w:type="continuationSeparator" w:id="0">
    <w:p w14:paraId="7E530586" w14:textId="77777777" w:rsidR="00270F9D" w:rsidRDefault="00270F9D" w:rsidP="007E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643149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05DF8E5" w14:textId="0D165FB8" w:rsidR="007E18BD" w:rsidRDefault="007E18BD" w:rsidP="007E18B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7808FBC" w14:textId="77777777" w:rsidR="007E18BD" w:rsidRDefault="007E1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EE86" w14:textId="77777777" w:rsidR="00270F9D" w:rsidRDefault="00270F9D" w:rsidP="007E18BD">
      <w:r>
        <w:separator/>
      </w:r>
    </w:p>
  </w:footnote>
  <w:footnote w:type="continuationSeparator" w:id="0">
    <w:p w14:paraId="13A4E64D" w14:textId="77777777" w:rsidR="00270F9D" w:rsidRDefault="00270F9D" w:rsidP="007E1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9C11" w14:textId="77777777" w:rsidR="00D73347" w:rsidRDefault="00D73347" w:rsidP="00D7334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60" w:line="259" w:lineRule="auto"/>
      <w:jc w:val="center"/>
      <w:rPr>
        <w:rFonts w:asciiTheme="minorHAnsi" w:hAnsiTheme="minorHAnsi" w:cstheme="minorHAnsi"/>
        <w:b/>
        <w:i/>
        <w:color w:val="008000"/>
        <w:sz w:val="36"/>
        <w:szCs w:val="36"/>
      </w:rPr>
    </w:pPr>
    <w:r w:rsidRPr="00131C70">
      <w:rPr>
        <w:rFonts w:asciiTheme="minorHAnsi" w:hAnsiTheme="minorHAnsi" w:cstheme="minorHAnsi"/>
        <w:b/>
        <w:i/>
        <w:color w:val="008000"/>
        <w:sz w:val="36"/>
        <w:szCs w:val="36"/>
      </w:rPr>
      <w:t>Denman WORKS! Economic Enhancement Society</w:t>
    </w:r>
  </w:p>
  <w:p w14:paraId="2C4FF698" w14:textId="77777777" w:rsidR="00D73347" w:rsidRPr="007377B0" w:rsidRDefault="00D73347" w:rsidP="00D73347">
    <w:pPr>
      <w:jc w:val="center"/>
      <w:rPr>
        <w:b/>
        <w:bCs/>
        <w:sz w:val="28"/>
        <w:szCs w:val="28"/>
      </w:rPr>
    </w:pPr>
    <w:r w:rsidRPr="007377B0">
      <w:rPr>
        <w:b/>
        <w:bCs/>
        <w:sz w:val="28"/>
        <w:szCs w:val="28"/>
      </w:rPr>
      <w:t>Annual General Meeting</w:t>
    </w:r>
  </w:p>
  <w:p w14:paraId="12B3E476" w14:textId="2CC20D2F" w:rsidR="00D73347" w:rsidRPr="007377B0" w:rsidRDefault="00D73347" w:rsidP="00D73347">
    <w:pPr>
      <w:jc w:val="center"/>
      <w:rPr>
        <w:b/>
        <w:bCs/>
        <w:sz w:val="28"/>
        <w:szCs w:val="28"/>
      </w:rPr>
    </w:pPr>
    <w:r w:rsidRPr="007377B0">
      <w:rPr>
        <w:b/>
        <w:bCs/>
        <w:sz w:val="28"/>
        <w:szCs w:val="28"/>
      </w:rPr>
      <w:t>202</w:t>
    </w:r>
    <w:r w:rsidR="00D833FB">
      <w:rPr>
        <w:b/>
        <w:bCs/>
        <w:sz w:val="28"/>
        <w:szCs w:val="28"/>
      </w:rPr>
      <w:t>6-03-</w:t>
    </w:r>
    <w:r w:rsidR="00313AAD">
      <w:rPr>
        <w:b/>
        <w:bCs/>
        <w:sz w:val="28"/>
        <w:szCs w:val="28"/>
      </w:rPr>
      <w:t>26</w:t>
    </w:r>
    <w:r w:rsidR="0097589A">
      <w:rPr>
        <w:b/>
        <w:bCs/>
        <w:sz w:val="28"/>
        <w:szCs w:val="28"/>
      </w:rPr>
      <w:t xml:space="preserve"> 7:00 PM</w:t>
    </w:r>
  </w:p>
  <w:p w14:paraId="0C8EBCE6" w14:textId="7D7356E9" w:rsidR="00D73347" w:rsidRDefault="0097589A" w:rsidP="00D73347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Denman Activity Centre Lounge </w:t>
    </w:r>
  </w:p>
  <w:p w14:paraId="07A7A9F5" w14:textId="462FCECE" w:rsidR="00D73347" w:rsidRDefault="00D73347" w:rsidP="00D73347">
    <w:pPr>
      <w:jc w:val="center"/>
      <w:rPr>
        <w:b/>
        <w:bCs/>
        <w:sz w:val="28"/>
        <w:szCs w:val="28"/>
      </w:rPr>
    </w:pPr>
  </w:p>
  <w:p w14:paraId="331D9485" w14:textId="02DA8055" w:rsidR="00D73347" w:rsidRDefault="00397DF7" w:rsidP="00D73347">
    <w:pPr>
      <w:pBdr>
        <w:bottom w:val="single" w:sz="4" w:space="1" w:color="auto"/>
      </w:pBdr>
      <w:jc w:val="center"/>
    </w:pPr>
    <w:r>
      <w:rPr>
        <w:b/>
        <w:bCs/>
        <w:sz w:val="28"/>
        <w:szCs w:val="28"/>
      </w:rPr>
      <w:t xml:space="preserve">CHAIR REPORT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720C"/>
    <w:multiLevelType w:val="hybridMultilevel"/>
    <w:tmpl w:val="09E60E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0BF9"/>
    <w:multiLevelType w:val="hybridMultilevel"/>
    <w:tmpl w:val="609CAA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535F1"/>
    <w:multiLevelType w:val="hybridMultilevel"/>
    <w:tmpl w:val="33C8D32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6D1B59"/>
    <w:multiLevelType w:val="hybridMultilevel"/>
    <w:tmpl w:val="AFC6ACF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702F8E"/>
    <w:multiLevelType w:val="hybridMultilevel"/>
    <w:tmpl w:val="6778FE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251F5"/>
    <w:multiLevelType w:val="hybridMultilevel"/>
    <w:tmpl w:val="D1BCAADE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D31374"/>
    <w:multiLevelType w:val="hybridMultilevel"/>
    <w:tmpl w:val="F2F2AD1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3610865">
    <w:abstractNumId w:val="1"/>
  </w:num>
  <w:num w:numId="2" w16cid:durableId="925309755">
    <w:abstractNumId w:val="5"/>
  </w:num>
  <w:num w:numId="3" w16cid:durableId="2122677040">
    <w:abstractNumId w:val="2"/>
  </w:num>
  <w:num w:numId="4" w16cid:durableId="1123383306">
    <w:abstractNumId w:val="3"/>
  </w:num>
  <w:num w:numId="5" w16cid:durableId="46497146">
    <w:abstractNumId w:val="0"/>
  </w:num>
  <w:num w:numId="6" w16cid:durableId="1517427011">
    <w:abstractNumId w:val="4"/>
  </w:num>
  <w:num w:numId="7" w16cid:durableId="12108731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91"/>
    <w:rsid w:val="00003737"/>
    <w:rsid w:val="00005F60"/>
    <w:rsid w:val="00013C4E"/>
    <w:rsid w:val="000162B5"/>
    <w:rsid w:val="00035394"/>
    <w:rsid w:val="000365E4"/>
    <w:rsid w:val="00036E71"/>
    <w:rsid w:val="00037D88"/>
    <w:rsid w:val="00043274"/>
    <w:rsid w:val="0004689F"/>
    <w:rsid w:val="00052757"/>
    <w:rsid w:val="00066212"/>
    <w:rsid w:val="000766F9"/>
    <w:rsid w:val="0008275B"/>
    <w:rsid w:val="000838D9"/>
    <w:rsid w:val="00086706"/>
    <w:rsid w:val="00093F6A"/>
    <w:rsid w:val="000A0040"/>
    <w:rsid w:val="000A2229"/>
    <w:rsid w:val="000A3BB7"/>
    <w:rsid w:val="000C3293"/>
    <w:rsid w:val="000C5CD5"/>
    <w:rsid w:val="000C7521"/>
    <w:rsid w:val="000D6FB8"/>
    <w:rsid w:val="000F6CB9"/>
    <w:rsid w:val="0011362F"/>
    <w:rsid w:val="00123C9B"/>
    <w:rsid w:val="00143C55"/>
    <w:rsid w:val="00143E16"/>
    <w:rsid w:val="00164FD9"/>
    <w:rsid w:val="00166719"/>
    <w:rsid w:val="00167B1F"/>
    <w:rsid w:val="00187F18"/>
    <w:rsid w:val="0019437F"/>
    <w:rsid w:val="001947FF"/>
    <w:rsid w:val="001A599A"/>
    <w:rsid w:val="001B2DB6"/>
    <w:rsid w:val="001D5051"/>
    <w:rsid w:val="001E10DB"/>
    <w:rsid w:val="001E27FE"/>
    <w:rsid w:val="001E4DA4"/>
    <w:rsid w:val="001F6F3B"/>
    <w:rsid w:val="00221034"/>
    <w:rsid w:val="00245ECC"/>
    <w:rsid w:val="00246291"/>
    <w:rsid w:val="0025098B"/>
    <w:rsid w:val="00255206"/>
    <w:rsid w:val="00270F9D"/>
    <w:rsid w:val="002874D8"/>
    <w:rsid w:val="00290556"/>
    <w:rsid w:val="002918D8"/>
    <w:rsid w:val="0029648E"/>
    <w:rsid w:val="002B1FAC"/>
    <w:rsid w:val="002B482E"/>
    <w:rsid w:val="002D2889"/>
    <w:rsid w:val="002D4F7D"/>
    <w:rsid w:val="002D50F5"/>
    <w:rsid w:val="002E7A00"/>
    <w:rsid w:val="00301265"/>
    <w:rsid w:val="00303322"/>
    <w:rsid w:val="00307487"/>
    <w:rsid w:val="0031021C"/>
    <w:rsid w:val="00313AAD"/>
    <w:rsid w:val="003248BB"/>
    <w:rsid w:val="0032545D"/>
    <w:rsid w:val="00330925"/>
    <w:rsid w:val="00334873"/>
    <w:rsid w:val="00334D5A"/>
    <w:rsid w:val="003350E1"/>
    <w:rsid w:val="003404AE"/>
    <w:rsid w:val="00342D64"/>
    <w:rsid w:val="00343A1D"/>
    <w:rsid w:val="00343E7C"/>
    <w:rsid w:val="00344756"/>
    <w:rsid w:val="00347EF7"/>
    <w:rsid w:val="00351F8E"/>
    <w:rsid w:val="00354598"/>
    <w:rsid w:val="003603A2"/>
    <w:rsid w:val="00363064"/>
    <w:rsid w:val="00370F59"/>
    <w:rsid w:val="003746DA"/>
    <w:rsid w:val="00384A02"/>
    <w:rsid w:val="00384A71"/>
    <w:rsid w:val="0038527D"/>
    <w:rsid w:val="00390888"/>
    <w:rsid w:val="003914AA"/>
    <w:rsid w:val="00396F7D"/>
    <w:rsid w:val="00397DF7"/>
    <w:rsid w:val="003A1E90"/>
    <w:rsid w:val="003A2AFE"/>
    <w:rsid w:val="003B3E5B"/>
    <w:rsid w:val="003B5097"/>
    <w:rsid w:val="003B6E75"/>
    <w:rsid w:val="003C0ADE"/>
    <w:rsid w:val="003C5AA8"/>
    <w:rsid w:val="003C7799"/>
    <w:rsid w:val="003D1CBE"/>
    <w:rsid w:val="003D7239"/>
    <w:rsid w:val="003F1F47"/>
    <w:rsid w:val="003F231A"/>
    <w:rsid w:val="004030B3"/>
    <w:rsid w:val="004058A1"/>
    <w:rsid w:val="004204D1"/>
    <w:rsid w:val="00424883"/>
    <w:rsid w:val="004319A6"/>
    <w:rsid w:val="00441AB2"/>
    <w:rsid w:val="0044230C"/>
    <w:rsid w:val="00443313"/>
    <w:rsid w:val="00444791"/>
    <w:rsid w:val="0045067B"/>
    <w:rsid w:val="004517BB"/>
    <w:rsid w:val="0045654D"/>
    <w:rsid w:val="00463E52"/>
    <w:rsid w:val="00472857"/>
    <w:rsid w:val="0048132C"/>
    <w:rsid w:val="00493282"/>
    <w:rsid w:val="00493C55"/>
    <w:rsid w:val="004A2857"/>
    <w:rsid w:val="004B006D"/>
    <w:rsid w:val="004B6243"/>
    <w:rsid w:val="004B705F"/>
    <w:rsid w:val="004C2B31"/>
    <w:rsid w:val="004D116A"/>
    <w:rsid w:val="004D4802"/>
    <w:rsid w:val="004D4A99"/>
    <w:rsid w:val="004D66C0"/>
    <w:rsid w:val="004E5BB4"/>
    <w:rsid w:val="004E607B"/>
    <w:rsid w:val="004E6FAA"/>
    <w:rsid w:val="00502E3C"/>
    <w:rsid w:val="00504C0A"/>
    <w:rsid w:val="00506B6F"/>
    <w:rsid w:val="005072D1"/>
    <w:rsid w:val="0051040D"/>
    <w:rsid w:val="00514B7D"/>
    <w:rsid w:val="005151F7"/>
    <w:rsid w:val="0054442B"/>
    <w:rsid w:val="00544595"/>
    <w:rsid w:val="005473F4"/>
    <w:rsid w:val="00550581"/>
    <w:rsid w:val="00566D80"/>
    <w:rsid w:val="00573C29"/>
    <w:rsid w:val="00584DA3"/>
    <w:rsid w:val="005A06F5"/>
    <w:rsid w:val="005A4399"/>
    <w:rsid w:val="005A7AF7"/>
    <w:rsid w:val="005B4145"/>
    <w:rsid w:val="005C4884"/>
    <w:rsid w:val="005C7003"/>
    <w:rsid w:val="005D11D5"/>
    <w:rsid w:val="005E2F21"/>
    <w:rsid w:val="005E6286"/>
    <w:rsid w:val="005F61AD"/>
    <w:rsid w:val="00602E6C"/>
    <w:rsid w:val="0060591A"/>
    <w:rsid w:val="00613542"/>
    <w:rsid w:val="00624429"/>
    <w:rsid w:val="00631B5D"/>
    <w:rsid w:val="0065104B"/>
    <w:rsid w:val="00655E46"/>
    <w:rsid w:val="00661EF0"/>
    <w:rsid w:val="00672146"/>
    <w:rsid w:val="00672B32"/>
    <w:rsid w:val="00675628"/>
    <w:rsid w:val="00684C7E"/>
    <w:rsid w:val="006864DF"/>
    <w:rsid w:val="00687E3A"/>
    <w:rsid w:val="006A0F6D"/>
    <w:rsid w:val="006A5D3A"/>
    <w:rsid w:val="006A674D"/>
    <w:rsid w:val="006B45F9"/>
    <w:rsid w:val="006B5660"/>
    <w:rsid w:val="006C1F52"/>
    <w:rsid w:val="006C4DF3"/>
    <w:rsid w:val="006D4379"/>
    <w:rsid w:val="006D6AA1"/>
    <w:rsid w:val="006E15B2"/>
    <w:rsid w:val="006E4925"/>
    <w:rsid w:val="006E6182"/>
    <w:rsid w:val="006F7301"/>
    <w:rsid w:val="007064E8"/>
    <w:rsid w:val="00707AF9"/>
    <w:rsid w:val="0071663D"/>
    <w:rsid w:val="0071681C"/>
    <w:rsid w:val="00724CDA"/>
    <w:rsid w:val="00734A15"/>
    <w:rsid w:val="00735E71"/>
    <w:rsid w:val="00763604"/>
    <w:rsid w:val="0076454F"/>
    <w:rsid w:val="00786CFE"/>
    <w:rsid w:val="00794DEC"/>
    <w:rsid w:val="00795DDD"/>
    <w:rsid w:val="007A096C"/>
    <w:rsid w:val="007A4B1B"/>
    <w:rsid w:val="007B0F18"/>
    <w:rsid w:val="007B2031"/>
    <w:rsid w:val="007B5116"/>
    <w:rsid w:val="007C037E"/>
    <w:rsid w:val="007C0ECA"/>
    <w:rsid w:val="007C27B4"/>
    <w:rsid w:val="007D27B3"/>
    <w:rsid w:val="007E07DA"/>
    <w:rsid w:val="007E18BD"/>
    <w:rsid w:val="007E6769"/>
    <w:rsid w:val="007F0BC0"/>
    <w:rsid w:val="0080172F"/>
    <w:rsid w:val="00814F06"/>
    <w:rsid w:val="00821054"/>
    <w:rsid w:val="00825B35"/>
    <w:rsid w:val="00827F68"/>
    <w:rsid w:val="00840DD9"/>
    <w:rsid w:val="00841B87"/>
    <w:rsid w:val="00841C2C"/>
    <w:rsid w:val="00845AA9"/>
    <w:rsid w:val="00860117"/>
    <w:rsid w:val="00861571"/>
    <w:rsid w:val="0086328F"/>
    <w:rsid w:val="0086480B"/>
    <w:rsid w:val="008661F7"/>
    <w:rsid w:val="00883741"/>
    <w:rsid w:val="0089023A"/>
    <w:rsid w:val="00890583"/>
    <w:rsid w:val="008909AA"/>
    <w:rsid w:val="008968AE"/>
    <w:rsid w:val="008C0A97"/>
    <w:rsid w:val="008C2338"/>
    <w:rsid w:val="008C4E56"/>
    <w:rsid w:val="008D1707"/>
    <w:rsid w:val="008D4919"/>
    <w:rsid w:val="008D6819"/>
    <w:rsid w:val="008E1796"/>
    <w:rsid w:val="008F3C2E"/>
    <w:rsid w:val="008F6E04"/>
    <w:rsid w:val="009114BD"/>
    <w:rsid w:val="009117E9"/>
    <w:rsid w:val="00916954"/>
    <w:rsid w:val="00920E38"/>
    <w:rsid w:val="00931B5B"/>
    <w:rsid w:val="00937EB7"/>
    <w:rsid w:val="00941BF7"/>
    <w:rsid w:val="00947B1F"/>
    <w:rsid w:val="00951940"/>
    <w:rsid w:val="00952811"/>
    <w:rsid w:val="00954405"/>
    <w:rsid w:val="00955380"/>
    <w:rsid w:val="00955499"/>
    <w:rsid w:val="009672DF"/>
    <w:rsid w:val="0097589A"/>
    <w:rsid w:val="009764B4"/>
    <w:rsid w:val="0098298E"/>
    <w:rsid w:val="0098402F"/>
    <w:rsid w:val="00990B26"/>
    <w:rsid w:val="009A20E4"/>
    <w:rsid w:val="009A31EF"/>
    <w:rsid w:val="009A40E4"/>
    <w:rsid w:val="009A5BAE"/>
    <w:rsid w:val="009A79A1"/>
    <w:rsid w:val="009B4910"/>
    <w:rsid w:val="009D7C7A"/>
    <w:rsid w:val="009F6969"/>
    <w:rsid w:val="009F715F"/>
    <w:rsid w:val="009F7F3A"/>
    <w:rsid w:val="00A04550"/>
    <w:rsid w:val="00A10456"/>
    <w:rsid w:val="00A21B94"/>
    <w:rsid w:val="00A246D6"/>
    <w:rsid w:val="00A33ACB"/>
    <w:rsid w:val="00A5522B"/>
    <w:rsid w:val="00A62898"/>
    <w:rsid w:val="00A66C42"/>
    <w:rsid w:val="00A72E05"/>
    <w:rsid w:val="00A86362"/>
    <w:rsid w:val="00AA11A8"/>
    <w:rsid w:val="00AA22FA"/>
    <w:rsid w:val="00AA2408"/>
    <w:rsid w:val="00AA4969"/>
    <w:rsid w:val="00AB2F62"/>
    <w:rsid w:val="00AC6212"/>
    <w:rsid w:val="00AD2CBC"/>
    <w:rsid w:val="00AE1062"/>
    <w:rsid w:val="00AE178F"/>
    <w:rsid w:val="00AE565C"/>
    <w:rsid w:val="00AE6A1B"/>
    <w:rsid w:val="00AF1F97"/>
    <w:rsid w:val="00B06C22"/>
    <w:rsid w:val="00B21572"/>
    <w:rsid w:val="00B27AF2"/>
    <w:rsid w:val="00B3768E"/>
    <w:rsid w:val="00B460B3"/>
    <w:rsid w:val="00B4722B"/>
    <w:rsid w:val="00B54644"/>
    <w:rsid w:val="00B54DC9"/>
    <w:rsid w:val="00B652F4"/>
    <w:rsid w:val="00B70163"/>
    <w:rsid w:val="00B75C64"/>
    <w:rsid w:val="00B82CE8"/>
    <w:rsid w:val="00B87AB5"/>
    <w:rsid w:val="00B94490"/>
    <w:rsid w:val="00BA4A58"/>
    <w:rsid w:val="00BB3170"/>
    <w:rsid w:val="00BB5A7F"/>
    <w:rsid w:val="00BC031B"/>
    <w:rsid w:val="00BC7CAE"/>
    <w:rsid w:val="00BD12C1"/>
    <w:rsid w:val="00BD210E"/>
    <w:rsid w:val="00BD6811"/>
    <w:rsid w:val="00BE1E43"/>
    <w:rsid w:val="00BE2366"/>
    <w:rsid w:val="00BE6C20"/>
    <w:rsid w:val="00BF526E"/>
    <w:rsid w:val="00C043D3"/>
    <w:rsid w:val="00C14A14"/>
    <w:rsid w:val="00C16CA0"/>
    <w:rsid w:val="00C202BC"/>
    <w:rsid w:val="00C43CBF"/>
    <w:rsid w:val="00C43E0F"/>
    <w:rsid w:val="00C45FAF"/>
    <w:rsid w:val="00C46692"/>
    <w:rsid w:val="00C55906"/>
    <w:rsid w:val="00C66D81"/>
    <w:rsid w:val="00C724C9"/>
    <w:rsid w:val="00C753ED"/>
    <w:rsid w:val="00C76A59"/>
    <w:rsid w:val="00C81867"/>
    <w:rsid w:val="00C83874"/>
    <w:rsid w:val="00C86137"/>
    <w:rsid w:val="00C96A77"/>
    <w:rsid w:val="00CA57A2"/>
    <w:rsid w:val="00CA590A"/>
    <w:rsid w:val="00CA6E26"/>
    <w:rsid w:val="00CB0F48"/>
    <w:rsid w:val="00CB4E56"/>
    <w:rsid w:val="00CB51D9"/>
    <w:rsid w:val="00CC11C6"/>
    <w:rsid w:val="00CC275C"/>
    <w:rsid w:val="00CC33AC"/>
    <w:rsid w:val="00CC3EB2"/>
    <w:rsid w:val="00CC465A"/>
    <w:rsid w:val="00CC774B"/>
    <w:rsid w:val="00CD1188"/>
    <w:rsid w:val="00CE0184"/>
    <w:rsid w:val="00CF2C1C"/>
    <w:rsid w:val="00CF3FC9"/>
    <w:rsid w:val="00D049EB"/>
    <w:rsid w:val="00D31580"/>
    <w:rsid w:val="00D40BC7"/>
    <w:rsid w:val="00D46EEC"/>
    <w:rsid w:val="00D51CB1"/>
    <w:rsid w:val="00D6423F"/>
    <w:rsid w:val="00D666E9"/>
    <w:rsid w:val="00D66EA3"/>
    <w:rsid w:val="00D71CC1"/>
    <w:rsid w:val="00D73347"/>
    <w:rsid w:val="00D833FB"/>
    <w:rsid w:val="00D85C7B"/>
    <w:rsid w:val="00D948FC"/>
    <w:rsid w:val="00DA2137"/>
    <w:rsid w:val="00DA23D1"/>
    <w:rsid w:val="00DA290F"/>
    <w:rsid w:val="00DA3483"/>
    <w:rsid w:val="00DB2E1C"/>
    <w:rsid w:val="00DC48A1"/>
    <w:rsid w:val="00DD043B"/>
    <w:rsid w:val="00DD11F7"/>
    <w:rsid w:val="00DE28D3"/>
    <w:rsid w:val="00DF5C20"/>
    <w:rsid w:val="00E00E9F"/>
    <w:rsid w:val="00E04CF0"/>
    <w:rsid w:val="00E057AC"/>
    <w:rsid w:val="00E1558B"/>
    <w:rsid w:val="00E20AD1"/>
    <w:rsid w:val="00E24315"/>
    <w:rsid w:val="00E370CF"/>
    <w:rsid w:val="00E37365"/>
    <w:rsid w:val="00E516DF"/>
    <w:rsid w:val="00E5361A"/>
    <w:rsid w:val="00E57DBB"/>
    <w:rsid w:val="00E76693"/>
    <w:rsid w:val="00E803D0"/>
    <w:rsid w:val="00E82178"/>
    <w:rsid w:val="00E827F6"/>
    <w:rsid w:val="00E85923"/>
    <w:rsid w:val="00E8622A"/>
    <w:rsid w:val="00E87B92"/>
    <w:rsid w:val="00EA7589"/>
    <w:rsid w:val="00ED4D38"/>
    <w:rsid w:val="00EE3E56"/>
    <w:rsid w:val="00EE5823"/>
    <w:rsid w:val="00EF0982"/>
    <w:rsid w:val="00EF1341"/>
    <w:rsid w:val="00EF7F57"/>
    <w:rsid w:val="00F0071F"/>
    <w:rsid w:val="00F024A9"/>
    <w:rsid w:val="00F02B13"/>
    <w:rsid w:val="00F074B6"/>
    <w:rsid w:val="00F12B39"/>
    <w:rsid w:val="00F14B18"/>
    <w:rsid w:val="00F1502E"/>
    <w:rsid w:val="00F17844"/>
    <w:rsid w:val="00F26271"/>
    <w:rsid w:val="00F2742F"/>
    <w:rsid w:val="00F27BB9"/>
    <w:rsid w:val="00F35A67"/>
    <w:rsid w:val="00F367BF"/>
    <w:rsid w:val="00F43FFF"/>
    <w:rsid w:val="00F54FA3"/>
    <w:rsid w:val="00F55210"/>
    <w:rsid w:val="00F56E26"/>
    <w:rsid w:val="00F70095"/>
    <w:rsid w:val="00F718E9"/>
    <w:rsid w:val="00F720AD"/>
    <w:rsid w:val="00F8262B"/>
    <w:rsid w:val="00F85EC5"/>
    <w:rsid w:val="00F87057"/>
    <w:rsid w:val="00F873C9"/>
    <w:rsid w:val="00F92DA3"/>
    <w:rsid w:val="00F9384D"/>
    <w:rsid w:val="00F96991"/>
    <w:rsid w:val="00FA73A8"/>
    <w:rsid w:val="00FB0A9D"/>
    <w:rsid w:val="00FB0D6E"/>
    <w:rsid w:val="00FB1EC6"/>
    <w:rsid w:val="00FC4B1A"/>
    <w:rsid w:val="00FD1BC1"/>
    <w:rsid w:val="00FD24FF"/>
    <w:rsid w:val="00FD3BE0"/>
    <w:rsid w:val="00FE3D8B"/>
    <w:rsid w:val="00FE407A"/>
    <w:rsid w:val="00FE4294"/>
    <w:rsid w:val="00FF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DB8DF"/>
  <w15:chartTrackingRefBased/>
  <w15:docId w15:val="{89A19EFF-A0A7-4003-81C8-0FFC12CD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791"/>
    <w:pPr>
      <w:spacing w:after="0" w:line="240" w:lineRule="auto"/>
    </w:pPr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7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791"/>
    <w:rPr>
      <w:rFonts w:ascii="Calibri" w:hAnsi="Calibri"/>
      <w:sz w:val="24"/>
    </w:rPr>
  </w:style>
  <w:style w:type="paragraph" w:styleId="ListParagraph">
    <w:name w:val="List Paragraph"/>
    <w:basedOn w:val="Normal"/>
    <w:uiPriority w:val="34"/>
    <w:qFormat/>
    <w:rsid w:val="00B2157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E1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8BD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978</Words>
  <Characters>5385</Characters>
  <Application>Microsoft Office Word</Application>
  <DocSecurity>0</DocSecurity>
  <Lines>224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gregson</dc:creator>
  <cp:keywords/>
  <dc:description/>
  <cp:lastModifiedBy>tony gregson</cp:lastModifiedBy>
  <cp:revision>138</cp:revision>
  <cp:lastPrinted>2025-03-10T04:05:00Z</cp:lastPrinted>
  <dcterms:created xsi:type="dcterms:W3CDTF">2026-03-24T22:51:00Z</dcterms:created>
  <dcterms:modified xsi:type="dcterms:W3CDTF">2026-03-25T03:06:00Z</dcterms:modified>
</cp:coreProperties>
</file>